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克州中级人民法院</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①审判法律规定由中级人民法院管辖、高级人民法院指定管辖或者认为应由自己审判的刑事、民事、行政等第一审案件。②审判法律规定由中级人民法院审判的刑事、民事、行政等第二审案件。③审理高级人民法院指令再审的案件；审理本院发生法律效率的判决、裁定提起再审的案件；受理不服下级人民法院判决、裁定的各类申诉和申请再审的案件。④审判由自治州人民检察院按照审判程序提出的抗诉案件。⑤对下级人民法院管辖不明的案件指定管辖。⑥监督自治州地方人民法院的审判工作。⑦办理法律规定由中级人民法院管辖的减刑、假释案件。⑧依法行使司法执行权和司法决定权。⑨依法决定国家赔偿。</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级人民法院单位无下属预算单位，下设14个庭室，分别是：政治部、审管办、研究室、审监庭、立案庭、执行局、刑庭、行政庭、民一庭、民二庭、法警队、办公室、监察室、财装处。克州中级人民法院编制数95人，实有人数82人，其中：在职82人；退休50人，增加或减少0人；离休0人，增加0 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中级人民法院按照自治州党委改革发展稳定的各项新部署新要求，统筹疫情防控和经济社会发展、统筹发展和安全，忠实履行宪法和法律赋予的职责，以党的政治建设为统领，奋力推进新时代人民法院工作高质量发展，为确保上级法院工作部署和州委工作要求在全州两级人民法院落实落地落到底，按照“细化措施、量化任务、压实责任、狠抓落实”的工作要求，以“转作风提质效”活动为抓手，锻造“五个过硬”“四化”法院铁军，锤炼司法作风，切实提高审判执行质效和司法公信力。</w:t>
      </w:r>
      <w:r>
        <w:rPr>
          <w:rFonts w:hint="eastAsia" w:ascii="仿宋_GB2312" w:hAnsi="宋体" w:eastAsia="仿宋_GB2312"/>
          <w:b w:val="0"/>
          <w:bCs/>
          <w:sz w:val="32"/>
          <w:szCs w:val="32"/>
        </w:rPr>
        <w:cr/>
      </w:r>
      <w:r>
        <w:rPr>
          <w:rFonts w:hint="eastAsia" w:ascii="仿宋_GB2312" w:hAnsi="宋体" w:eastAsia="仿宋_GB2312"/>
          <w:b w:val="0"/>
          <w:bCs/>
          <w:sz w:val="32"/>
          <w:szCs w:val="32"/>
        </w:rPr>
        <w:t>　　坚持重大事项、重大专项司法活动、重大敏感案（事）件、重大突发事件等第一时间报告。建立重大案件政治审核把关制度，把讲政治与讲法律有机统一起来，始终把讲政治贯穿于法院各类案件审理的全过程。把学习成效转化为政治成果、思想成果、实践成果，体现在提升审判执行质效、多出优秀司法产品等工作上。切实转变工作作风，对安排的各项工作，要立即办、快速办、按时办，做到今日事今日毕、明日事今日谋，锤炼“事事马上办、人人钉钉子、个个敢担当”的司法作风，严格工作纪律。</w:t>
      </w:r>
      <w:r>
        <w:rPr>
          <w:rFonts w:hint="eastAsia" w:ascii="仿宋_GB2312" w:hAnsi="宋体" w:eastAsia="仿宋_GB2312"/>
          <w:b w:val="0"/>
          <w:bCs/>
          <w:sz w:val="32"/>
          <w:szCs w:val="32"/>
        </w:rPr>
        <w:cr/>
      </w:r>
      <w:r>
        <w:rPr>
          <w:rFonts w:hint="eastAsia" w:ascii="仿宋_GB2312" w:hAnsi="宋体" w:eastAsia="仿宋_GB2312"/>
          <w:b w:val="0"/>
          <w:bCs/>
          <w:sz w:val="32"/>
          <w:szCs w:val="32"/>
        </w:rPr>
        <w:t>　　坚持党对法院工作的绝对领导，在法治轨道上推进反恐维稳法治化常态化，持续深化严打专项斗争，严厉打击渗透颠覆破坏、暴力恐怖、宗教极端、民族分裂、间谍活动等危害国家安全的犯罪活动。积极主动开展涉疆对外斗争，严厉打击喂料、内外勾连等严重危害国家安全刑事犯罪，对涉外案件由专人办理，落实层级上报制度，加快推进涉外案件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两高两部《关于加强减刑、假释案件实质化审理的意见》要求，切实做好减刑、假释案件实质化审理工作。重拳惩治腐败犯罪，深化与纪检监察、检察机关的沟通衔接，依法严厉打击各类职务犯罪。坚持立案部门形式审查与破产审判部门实质审查相分离，互不插手、互不干预，畅通破产案件受理渠道。推进行政应诉工作规范化。按照自治区党委法治口岸建设和疫情防控部署，将霍尔果斯“中哈联合纠纷化解平台”实体化运行经验延伸到本辖区伊尔克什坦和吐尔尕特两个口岸，做好口岸特色涉外法律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充分发挥旅游巡回法庭诉前调解、审判及法律宣传作用，注重调解化解，将矛盾纠纷解决在基层，化解在萌芽状态。两级法院主动融入党委领导的诉源治理机制，严格落实立案登记制，严禁在法律规定之外设定立案条件，控制立案、拖延立案、干预立案，坚决贯彻执行“一次性书面告知”制度，积极推动网上立案、跨域立案工作，妥善审理消费者权益保护案件，深化家事审判方式改革，加强长期未结案件常态化管理，管好用好“三个规定”记录报告平台。</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中级人民法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（2）收支管理：领导层是本单位收支业务管理的决策部门，负责审批单位收支业务等事项。涉及“三重一大”事项，根据《克州中级人民法院集体决策制度》和《克州中级人民法院项目管理办法》办理。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中级人民法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中级人民法院合同管理办法》相关规定，克州中级人民法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2834.05万元，项目支出安排资金10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本单位2021年度项目支出10万元，涉及项目数量1个，其中：重点项目支出10万元，涉及重点项目数量1个，重点项目支出与部门项目总支出的比率为100%。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2021年度本单位年初批复部门预算资金总额为2540.74万元，年中调增预算总额为275.87万元，调整后全年预算资金总额为2816.61万元。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2021年度本单位部门整体支出资金总额为2816.61万元，预算执行率为100%，预算调整率为</w:t>
      </w:r>
      <w:r>
        <w:rPr>
          <w:rFonts w:hint="eastAsia" w:ascii="仿宋_GB2312" w:hAnsi="宋体" w:eastAsia="仿宋_GB2312"/>
          <w:b w:val="0"/>
          <w:bCs/>
          <w:sz w:val="32"/>
          <w:szCs w:val="32"/>
          <w:lang w:val="en-US" w:eastAsia="zh-CN"/>
        </w:rPr>
        <w:t>10.85</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年初政府采购预算数为37万元，实际政府采购数为36.15万元，政府采购执行率为97.70%。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为加强我单位预算管理、规范财务行为我单位制定了《克州中级人民法院内部控制规范》《克州中级人民法院项目管理规范》等资金管理制度，已建立制度均健全且有效运行。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2021年度我单位基本支出预算总额为2806.61万元，其中人员经费2134.91万元，公用经费671.69万元。实际执行总额为2806.61万元，预算执行率100%。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36.15万元，比上年减少16.32万元，减少45.15%，主要原因是：按照厉行节约的要求，2021年缩减公务车运行维护费，因此支出随之减少。其中，因公出国（境）费支出0万元；公务用车购置及运行维护费支出31.44万元；公务接待费支出4.71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与年初预算数相比情况：一般公共预算“三公”经费支出年初预算数37万元，预算执行数为36.15万元，执行率为97.70%，主要原因是：按照厉行节约的要求，2021年缩减公务车运行维护费，因此支出随之减少。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2021年度本单位项目支出预算总额为10万元，实际执行资金总额为10万元，预算执行率为100%。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2021年度预算安排本级财力资金10万元，实际支出资金10万元，预算执行率为100%，涉及项目个数1个，各项目详细执行情况如下：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群众工作经费项目:全年预算数为10万元，预算执行数为10万元，预算执行率为100%。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本单位2021年初资产合计数为1680.39万元，年末资产合计数为199.61万元。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截止本年度固定资产账面净值737.22万元，年末实际在用固定资产737.22万元，固定资产利用率为100%。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部门单位整体支出共设置一级指标3个，二级指标7个，三级指标11个，其中已完成三级指标10个，指标完成率为90.91%。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“保障人员数（人）”指标：预期指标值为=150人，实际完成指标值为150人，指标完成率为100%。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“为民办实事好事次数（次）”指标：预期指标值为&gt;=24次，实际完成指标值为24次，指标完成率为100%。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“保障各项办公费用项目数（个）”指标：预期指标值为=5个，实际完成指标值为5个，指标完成率为100%。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“人员经费（万元）”指标：预期指标值为=1640.60万元，实际完成指标值为1640.60万元，指标完成率为100%。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“公用经费（万元）”指标：预期指标值为=876.14万元，实际完成指标值为876.14万元，指标完成率为100%。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“项目支出（万元）”指标：预期指标值为=24万元，实际完成指标值为10万元，指标完成率为41.67%。偏差原因：年初预算的24万元，到位10万元，资金执行10万元，改进措施：做好年初预算，做好资金规划。</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“提高生产生活水平”指标：预期指标值为有效提高，实际完成指标值为有效提高，指标完成率为100%。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“提升工作积极性”指标：预期指标值为显著提升，实际完成指标值为显著提升，指标完成率为100%。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CD74940"/>
    <w:rsid w:val="200F4073"/>
    <w:rsid w:val="24B86128"/>
    <w:rsid w:val="379C2225"/>
    <w:rsid w:val="51780977"/>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2022-05-23T13:49:26Z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